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“新能源风光发电技术”赛项培训班的通知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新能源风光发电技术</w:t>
      </w:r>
      <w:r>
        <w:rPr>
          <w:rFonts w:hint="eastAsia" w:hAnsi="宋体"/>
          <w:sz w:val="30"/>
          <w:szCs w:val="30"/>
        </w:rPr>
        <w:t>”赛项培训班（“</w:t>
      </w:r>
      <w:r>
        <w:rPr>
          <w:rFonts w:hint="eastAsia" w:hAnsi="华文中宋"/>
          <w:sz w:val="30"/>
          <w:szCs w:val="30"/>
        </w:rPr>
        <w:t>新能源风光发电技术</w:t>
      </w:r>
      <w:r>
        <w:rPr>
          <w:rFonts w:hint="eastAsia" w:hAnsi="宋体"/>
          <w:sz w:val="30"/>
          <w:szCs w:val="30"/>
        </w:rPr>
        <w:t>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（3）围绕“新能源风光发电技术”赛项，讲解赛项平台组成和功能、各控制系统及单元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模块功能和接口，详细介绍赛项平台的各功能组成模块功能及使用。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（4）结合“新能源风光发电技术”赛项，重点培训赛项平台的实践技能操作，包括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（5）围绕“新能源风光发电技术”的应用，讲授风光互补发电系统、太阳能自动追踪、最大功率跟踪、并/离网逆变、相关软件编程等技术。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：新能源科学与工程、风能与动力工程、电气工程及其自动化、自动化,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分布式发电与微电网技术、风电发电工程技术、风电系统运行与维护、光伏发电技术与应用、光伏工程技术、太阳能光热技术与应用、新能源装备技术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第一期培训时间：2020年7月27日（周一）至8月1日（周六），          7月27日接站、报到，8月1日结业、送站。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第二期培训时间：2020年8月18日（周二）至8月23日（周日），          8月18日接站、报到，8月23日结业、送站。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第三期培训时间：2020年9月11日（周五）至9月16日（周三），         9月11日接站、报到，9月16日结业、送站。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注：（1）请准备参加培训班的院校尽快报名，第一期报名截止日期2020年7月24日（周五），第二期报名截止日期2020年8月14日（周五），第三期报名截止日期2020年9月8日（周二）。</w:t>
      </w:r>
    </w:p>
    <w:p>
      <w:pPr>
        <w:tabs>
          <w:tab w:val="left" w:pos="1440"/>
        </w:tabs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pacing w:val="-6"/>
          <w:sz w:val="30"/>
          <w:szCs w:val="30"/>
        </w:rPr>
      </w:pPr>
      <w:r>
        <w:rPr>
          <w:rFonts w:hint="eastAsia" w:hAnsi="宋体"/>
          <w:spacing w:val="-6"/>
          <w:sz w:val="30"/>
          <w:szCs w:val="30"/>
        </w:rPr>
        <w:t>（1）</w:t>
      </w:r>
      <w:r>
        <w:rPr>
          <w:rFonts w:ascii="Times New Roman"/>
          <w:spacing w:val="-6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6"/>
          <w:sz w:val="30"/>
          <w:szCs w:val="30"/>
        </w:rPr>
        <w:t>：</w:t>
      </w:r>
      <w:r>
        <w:rPr>
          <w:rFonts w:ascii="Times New Roman"/>
          <w:spacing w:val="-6"/>
          <w:sz w:val="30"/>
          <w:szCs w:val="30"/>
        </w:rPr>
        <w:t>2100元/人；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（1）请准备参加培训的老师填写《第六届全国高等院校工程应用技术教师大赛“新能源风光发电技术”培训班报名回执表》（报名回执表亦可登陆网站http://skills.tianhuang.cn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附件：第六届全国高等院校工程应用技术教师大赛“新能源风光发电技术”赛项培训班报名回执表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</w:t>
      </w:r>
    </w:p>
    <w:p>
      <w:pPr>
        <w:spacing w:line="420" w:lineRule="exact"/>
        <w:ind w:right="600" w:firstLine="301" w:firstLineChars="100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浙江天煌科技实业有限公司</w:t>
      </w:r>
    </w:p>
    <w:p>
      <w:pPr>
        <w:spacing w:line="420" w:lineRule="exact"/>
        <w:ind w:right="600" w:firstLine="301" w:firstLineChars="100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第六届全国高等院校工程应用技术教师大赛“新能源风光发电技术”赛项培训班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tabs>
                <w:tab w:val="left" w:pos="838"/>
              </w:tabs>
              <w:bidi w:val="0"/>
              <w:jc w:val="left"/>
              <w:rPr>
                <w:rFonts w:hint="eastAsia" w:ascii="仿宋_GB2312" w:hAnsi="Times New Roman" w:eastAsia="仿宋_GB2312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32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7A9A"/>
    <w:multiLevelType w:val="multilevel"/>
    <w:tmpl w:val="72027A9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D4CD0"/>
    <w:rsid w:val="3F6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2020-06-02T01:23:00Z</dcterms:created>
  <dc:creator>TH-WL</dc:creator>
  <cp:lastModifiedBy>如约而至</cp:lastModifiedBy>
  <dcterms:modified xsi:type="dcterms:W3CDTF">2020-06-02T01:56:23Z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